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/>
          <w:spacing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/>
          <w:spacing w:val="0"/>
          <w:sz w:val="44"/>
          <w:szCs w:val="44"/>
          <w:lang w:eastAsia="zh-CN"/>
        </w:rPr>
        <w:t>红旗区信访局预算公开说明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i w:val="0"/>
          <w:caps w:val="0"/>
          <w:color w:val="000000"/>
          <w:spacing w:val="0"/>
          <w:sz w:val="44"/>
          <w:szCs w:val="44"/>
          <w:lang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="0" w:right="0" w:firstLine="0"/>
        <w:jc w:val="both"/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基本情况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78" w:lineRule="atLeast"/>
        <w:ind w:leftChars="0" w:right="0" w:rightChars="0"/>
        <w:jc w:val="both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（一）部门主要职能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1、代表区委、区政府受理人民群众给区委、区政府及其主要领导人的来信，接待群众来访，受理人民群众通过电话、电报和网络的信访案件，为来信来访群众提供有关法律、法规和政策咨询服务。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承办上级领导机关、本级领导机关及其负责人转办、交办的信访事项，督促检查领导同志批示件的落实情况；向有关单位交办信访事项，督促检查重要信访事项的处理和落实；审结要结果案件。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负责向各镇、办事处和区直各部门交办有关信访案件，督促检查办理情况，审查处理结果，并实施信访责任追究制。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协调处理跨镇、办事处、部门和单位之间的群众集体赴京到省去市来区上访、突发上访事件等重要信访案件；对重要案件实施个案监督，并提出对有关责任人的处理意见和建议。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分析研究信访工作形势，征集群众建议，及时向区委区政府提供信访信息，并对重要问题提出意见和建议。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全面推行依法逐级走访，进一步落实信访事项办理责任、规范工作程度，明确工作要求，及时就地协调解决群众合理诉求。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检查指导各镇、办事处和区直各部门的信访工作，组织交流工作经验，提出改进措施，组织信访干部培训；指导全区信访部门办公自动化建设。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负责信访工作的宣传和信息发布；协调信访工作的区级活动。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做好不安定因素的排查和消除工作，维护社会政治稳定。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承办区委、区政府交办的其他事项。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（二）部门预算单位构成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eastAsia="zh-CN"/>
        </w:rPr>
        <w:t>红旗区信访局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机关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eastAsia="zh-CN"/>
        </w:rPr>
        <w:t>下设一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个二级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eastAsia="zh-CN"/>
        </w:rPr>
        <w:t>机构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eastAsia="zh-CN"/>
        </w:rPr>
        <w:t>人民群众来访接待中心，为事业财政全额拨款单位。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（三）部门人员构成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eastAsia="zh-CN"/>
        </w:rPr>
        <w:t>红旗区信访局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总编制人数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人，其中：行政编制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人，事业编制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人。在职实有人数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人，其中：行政在职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人，事业在职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人。退休人员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二、收入预算说明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2017年收入预算274.9万元，其中：财政一般拨款274.9万元。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三、支出预算说明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2017年支出预算 274.9万元，其中：基本支出114.9 万元.项目支出160万元。基本支出较去年增加了17.04万元，主要为养老保险费用；项目支出较去年增加了65万元，主要为信访视频接访建设的参数标准较去年有所提高。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right="0" w:rightChars="0"/>
        <w:jc w:val="both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四、三公经费预算说明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2017年三公经费预算元，其中：因公出国为0元，公务用车为2万元，公务接待 4.4万元。公务用车较去年增加了2万元，主要为我单位下属事业单位有公务用车一辆；公务接待和去年持平。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606060"/>
          <w:spacing w:val="15"/>
          <w:sz w:val="32"/>
          <w:szCs w:val="32"/>
        </w:rPr>
      </w:pPr>
      <w:r>
        <w:rPr>
          <w:rStyle w:val="4"/>
          <w:rFonts w:hint="eastAsia" w:ascii="仿宋_GB2312" w:hAnsi="仿宋_GB2312" w:eastAsia="仿宋_GB2312" w:cs="仿宋_GB2312"/>
          <w:b w:val="0"/>
          <w:bCs/>
          <w:i w:val="0"/>
          <w:caps w:val="0"/>
          <w:color w:val="606060"/>
          <w:spacing w:val="15"/>
          <w:sz w:val="32"/>
          <w:szCs w:val="32"/>
          <w:shd w:val="clear" w:fill="FFFFFF"/>
        </w:rPr>
        <w:t>五</w:t>
      </w:r>
      <w:r>
        <w:rPr>
          <w:rStyle w:val="4"/>
          <w:rFonts w:hint="eastAsia" w:ascii="仿宋_GB2312" w:hAnsi="仿宋_GB2312" w:eastAsia="仿宋_GB2312" w:cs="仿宋_GB2312"/>
          <w:b w:val="0"/>
          <w:bCs/>
          <w:i w:val="0"/>
          <w:caps w:val="0"/>
          <w:color w:val="606060"/>
          <w:spacing w:val="15"/>
          <w:sz w:val="32"/>
          <w:szCs w:val="32"/>
          <w:shd w:val="clear" w:fill="FFFFFF"/>
          <w:lang w:eastAsia="zh-CN"/>
        </w:rPr>
        <w:t>、</w:t>
      </w:r>
      <w:r>
        <w:rPr>
          <w:rStyle w:val="4"/>
          <w:rFonts w:hint="eastAsia" w:ascii="仿宋_GB2312" w:hAnsi="仿宋_GB2312" w:eastAsia="仿宋_GB2312" w:cs="仿宋_GB2312"/>
          <w:b w:val="0"/>
          <w:bCs/>
          <w:i w:val="0"/>
          <w:caps w:val="0"/>
          <w:color w:val="606060"/>
          <w:spacing w:val="15"/>
          <w:sz w:val="32"/>
          <w:szCs w:val="32"/>
          <w:shd w:val="clear" w:fill="FFFFFF"/>
        </w:rPr>
        <w:t>政府采购情况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i w:val="0"/>
          <w:caps w:val="0"/>
          <w:color w:val="606060"/>
          <w:spacing w:val="15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606060"/>
          <w:spacing w:val="15"/>
          <w:sz w:val="32"/>
          <w:szCs w:val="32"/>
          <w:shd w:val="clear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606060"/>
          <w:spacing w:val="15"/>
          <w:sz w:val="32"/>
          <w:szCs w:val="32"/>
          <w:shd w:val="clear" w:fill="FFFFFF"/>
        </w:rPr>
        <w:t>2017年部门综合预算政府采购（资产配置）支出10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606060"/>
          <w:spacing w:val="15"/>
          <w:sz w:val="32"/>
          <w:szCs w:val="32"/>
          <w:shd w:val="clear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606060"/>
          <w:spacing w:val="15"/>
          <w:sz w:val="32"/>
          <w:szCs w:val="32"/>
          <w:shd w:val="clear" w:fill="FFFFFF"/>
        </w:rPr>
        <w:t>万元，主要用于</w:t>
      </w:r>
      <w:r>
        <w:rPr>
          <w:rFonts w:hint="eastAsia" w:ascii="仿宋_GB2312" w:hAnsi="仿宋_GB2312" w:eastAsia="仿宋_GB2312" w:cs="仿宋_GB2312"/>
          <w:b w:val="0"/>
          <w:bCs/>
          <w:i w:val="0"/>
          <w:caps w:val="0"/>
          <w:color w:val="606060"/>
          <w:spacing w:val="15"/>
          <w:sz w:val="32"/>
          <w:szCs w:val="32"/>
          <w:shd w:val="clear" w:fill="FFFFFF"/>
          <w:lang w:eastAsia="zh-CN"/>
        </w:rPr>
        <w:t>信访视频接访建设项目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606060"/>
          <w:spacing w:val="15"/>
          <w:sz w:val="32"/>
          <w:szCs w:val="32"/>
          <w:shd w:val="clear" w:fill="FFFFFF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235C0"/>
    <w:multiLevelType w:val="singleLevel"/>
    <w:tmpl w:val="592235C0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9223E9E"/>
    <w:multiLevelType w:val="singleLevel"/>
    <w:tmpl w:val="59223E9E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D0250"/>
    <w:rsid w:val="14F630BF"/>
    <w:rsid w:val="1CCA0C5F"/>
    <w:rsid w:val="1D301EAE"/>
    <w:rsid w:val="23CB3C0A"/>
    <w:rsid w:val="24AE435A"/>
    <w:rsid w:val="30534D7E"/>
    <w:rsid w:val="30C42CB1"/>
    <w:rsid w:val="36941131"/>
    <w:rsid w:val="44275915"/>
    <w:rsid w:val="53DA33BA"/>
    <w:rsid w:val="574D7EE1"/>
    <w:rsid w:val="6C000959"/>
    <w:rsid w:val="709F1E24"/>
    <w:rsid w:val="72E013A4"/>
    <w:rsid w:val="7F6114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2017-05-22T08:22:07Z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